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80"/>
        <w:jc w:val="center"/>
      </w:pPr>
      <w:r>
        <w:rPr>
          <w:rFonts w:ascii="B Nazanin" w:hAnsi="B Nazanin" w:cs="B Nazanin"/>
          <w:b/>
          <w:color w:val="384CA2"/>
          <w:sz w:val="36"/>
        </w:rPr>
        <w:t>اساسنامه ساختمان / مجتمع مسکونی</w:t>
      </w:r>
    </w:p>
    <w:p>
      <w:pPr>
        <w:bidi w:val="1"/>
        <w:spacing w:after="280"/>
        <w:jc w:val="center"/>
      </w:pPr>
      <w:r>
        <w:rPr>
          <w:rFonts w:ascii="B Nazanin" w:hAnsi="B Nazanin" w:cs="B Nazanin"/>
          <w:b w:val="0"/>
          <w:color w:val="666666"/>
          <w:sz w:val="22"/>
        </w:rPr>
        <w:t>(نمونه قابل تطبیق با ساختمان شما)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/>
          <w:sz w:val="24"/>
        </w:rPr>
        <w:t>ساختمان / مجتمع: ______________________________________</w:t>
      </w:r>
    </w:p>
    <w:p>
      <w:pPr>
        <w:bidi w:val="1"/>
        <w:spacing w:after="280"/>
        <w:jc w:val="right"/>
      </w:pPr>
      <w:r>
        <w:rPr>
          <w:rFonts w:ascii="B Nazanin" w:hAnsi="B Nazanin" w:cs="B Nazanin"/>
          <w:b w:val="0"/>
          <w:sz w:val="22"/>
        </w:rPr>
        <w:t>آدرس: __________________________________________________________________________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اول: کلیات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۱) این اساسنامه به استناد قانون تملک آپارتمان‌ها مصوب ۱۳۴۳ و اصلاحات بعدی آن و آیین‌نامه اجرایی مربوطه، با هدف تنظیم روابط مالکین و ساکنین، مدیریت بهینه قسمت‌های مشاع، و حفظ نظم در ساختمان ______________________ تدوین شده است.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ماده ۲) قسمت‌های اختصاصی شامل واحدهای مسکونی، تجاری، اداری، پارکینگ‌های اختصاصی و انباری‌های اختصاصی است. سایر فضاها مانند راه‌پله، آسانسور، حیاط، پشت‌بام، سقف، دیوارهای خارجی، تأسیسات و موتورخانه به‌عنوان قسمت‌های مشاع محسوب می‌گردد.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دوم: ارکان مجتمع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۳) ارکان مجتمع عبارت‌اند از: مجمع عمومی، مدیر یا هیئت مدیره، و بازرس.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۴) مجمع عمومی بالاترین رکن تصمیم‌گیری است. مجمع عمومی عادی حداقل سالی یک‌بار و مجمع فوق‌العاده هر زمان که مدیر یا بازرس یا یک سوم مالکین درخواست کنند، تشکیل می‌گردد.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۵) مدیر برای دوره یک‌ساله از سوی مجمع عمومی انتخاب می‌شود و وظایف وی شامل اجرای مصوبات مجمع، مدیریت مالی، نگهداری قسمت‌های مشاع، تنظیم رابطه با مأمورین خدمات شهری، و رعایت تشریفات بیمه ساختمان است.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ماده ۶) بازرس ضمن نظارت بر عملکرد مالی مدیر، گزارش سالیانه به مجمع ارائه می‌دهد.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سوم: امور مالی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۷) مجمع عمومی روش محاسبه شارژ ماهانه (متراژی، نفری، ترکیبی یا مساوی) را تعیین می‌نماید. تغییر روش، نیازمند تصویب مجمع است.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۸) واحدهای خالی از سکنه نیز موظف به پرداخت سهم خود از هزینه‌های ثابت ساختمان (بیمه، استهلاک، حقوق سرایدار و نظایر آن) می‌باشند. درصد سهم واحدهای خالی توسط مجمع تعیین می‌شود.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۹) جریمه تأخیر در پرداخت شارژ، طبق ماده ۱۰ مکرر قانون تملک آپارتمان‌ها و در صورت تصویب در مجمع، اعمال می‌گردد.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ماده ۱۰) حساب بانکی ساختمان به نام «ساختمان ______________________» و با امضای مدیر و خزانه‌دار افتتاح و اداره می‌شود.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چهارم: وظایف و حقوق ساکنین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۱۱) ساکنین موظف به رعایت آیین‌نامه انضباطی داخلی ساختمان، پرداخت به‌موقع شارژ، و حفظ نظم و آرامش هستند.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۱۲) هرگونه تغییر در قسمت‌های اختصاصی که به‌سازه یا تأسیسات مشترک تأثیر بگذارد (مانند تخریب دیوار، تغییر در لوله‌کشی)، نیازمند اعلام به مدیر و تأیید کتبی است.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ماده ۱۳) استفاده از واحدها برای کاربری‌های پرسروصدا، آلاینده، یا مغایر با کاربری اصلی ساختمان ممنوع است.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پنجم: نگهداری مشاعات و ایمنی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۱۴) مدیر مکلف است ساختمان را در برابر خطر آتش‌سوزی، طبق ماده ۱۴ قانون تملک آپارتمان‌ها، بیمه نماید.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۱۵) آسانسور باید طبق مبحث ۲۲ مقررات ملی ساختمان، به‌صورت ادواری توسط شرکت‌های دارای صلاحیت سرویس شود و گواهی استاندارد معتبر داشته باشد.</w:t>
      </w:r>
    </w:p>
    <w:p>
      <w:pPr>
        <w:bidi w:val="1"/>
        <w:spacing w:after="200"/>
        <w:jc w:val="both"/>
      </w:pPr>
      <w:r>
        <w:rPr>
          <w:rFonts w:ascii="B Nazanin" w:hAnsi="B Nazanin" w:cs="B Nazanin"/>
          <w:b w:val="0"/>
          <w:sz w:val="22"/>
        </w:rPr>
        <w:t>ماده ۱۶) چک‌لیست بازرسی ادواری تأسیسات (موتورخانه، آسانسور، تابلوی برق، سیستم اطفاء حریق) سالی دو بار توسط مدیر تهیه می‌شود.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فصل ششم: مقررات نهایی</w:t>
      </w:r>
    </w:p>
    <w:p>
      <w:pPr>
        <w:bidi w:val="1"/>
        <w:spacing w:after="160"/>
        <w:jc w:val="both"/>
      </w:pPr>
      <w:r>
        <w:rPr>
          <w:rFonts w:ascii="B Nazanin" w:hAnsi="B Nazanin" w:cs="B Nazanin"/>
          <w:b w:val="0"/>
          <w:sz w:val="22"/>
        </w:rPr>
        <w:t>ماده ۱۷) هرگونه اصلاح این اساسنامه نیازمند تصویب در مجمع عمومی فوق‌العاده با حضور دو سوم مالکین و رأی موافق اکثریت حاضرین است.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 w:val="0"/>
          <w:sz w:val="22"/>
        </w:rPr>
        <w:t>ماده ۱۸) موارد پیش‌بینی‌نشده در این اساسنامه، تابع قانون تملک آپارتمان‌ها و آیین‌نامه اجرایی آن خواهد بود.</w:t>
      </w:r>
    </w:p>
    <w:p>
      <w:pPr>
        <w:bidi w:val="1"/>
        <w:spacing w:after="240"/>
        <w:jc w:val="both"/>
      </w:pPr>
      <w:r>
        <w:rPr>
          <w:rFonts w:ascii="B Nazanin" w:hAnsi="B Nazanin" w:cs="B Nazanin"/>
          <w:b/>
          <w:sz w:val="22"/>
        </w:rPr>
        <w:t>این اساسنامه در ____ ماده و ____ تبصره در تاریخ ______________ به تصویب مجمع عمومی مؤسس / فوق‌العاده رسید و از همان تاریخ لازم‌الاجرا است.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 w:val="0"/>
          <w:sz w:val="22"/>
        </w:rPr>
        <w:t>امضای مدیر منتخب: ______________________   تاریخ: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 w:val="0"/>
          <w:sz w:val="22"/>
        </w:rPr>
        <w:t>امضای بازرس منتخب: ______________________   تاریخ: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